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3C9D457C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7D5125">
        <w:rPr>
          <w:rFonts w:ascii="Calibri" w:hAnsi="Calibri" w:cs="Calibri"/>
          <w:b/>
          <w:sz w:val="28"/>
          <w:szCs w:val="28"/>
        </w:rPr>
        <w:t>2</w:t>
      </w:r>
      <w:r w:rsidR="000F0B4D">
        <w:rPr>
          <w:rFonts w:ascii="Calibri" w:hAnsi="Calibri" w:cs="Calibri"/>
          <w:b/>
          <w:sz w:val="28"/>
          <w:szCs w:val="28"/>
        </w:rPr>
        <w:t>9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787F7E9C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„MAS Sokolovsko – IROP – Infrastruktura pro zvyšování kvality a dostupnosti sociálních služeb</w:t>
      </w:r>
      <w:r w:rsidR="00696268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7D5125">
        <w:rPr>
          <w:rFonts w:ascii="Calibri" w:hAnsi="Calibri" w:cs="Calibri"/>
          <w:b/>
          <w:smallCaps/>
          <w:sz w:val="28"/>
          <w:szCs w:val="28"/>
        </w:rPr>
        <w:t>V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77777777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>Vazba na výzvu ŘO IROP: 49. Výzva IROP – Sociální služby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56666467" w:rsidR="00211D24" w:rsidRDefault="00211D24" w:rsidP="00211D24">
      <w:pPr>
        <w:jc w:val="both"/>
      </w:pPr>
      <w:r>
        <w:t xml:space="preserve">V rámci MAS bude nejprve ze strany kanceláře MAS Sokolovsko provedena administrativní kontrola. Věcné hodnocení záměrů provádí Výběrová komise MAS Sokolovsko jakožto výběrový orgán. Programový výbor MAS Sokolovsko jakožto </w:t>
      </w:r>
      <w:r w:rsidR="008B7B1D">
        <w:t xml:space="preserve">rozhodovací </w:t>
      </w:r>
      <w:r>
        <w:t>orgán vybírá záměry, kterým bude vydáno Vyjádření o souladu se SCLLD MAS Sokolovsko. Toto vyjádření je povinnou součástí žádosti o podporu, kterou nositelé vybraných záměrů následně zpracují v MS21+.</w:t>
      </w:r>
    </w:p>
    <w:p w14:paraId="7A5EAD6D" w14:textId="75364A6A" w:rsidR="00211D24" w:rsidRDefault="00211D24" w:rsidP="00211D24">
      <w:pPr>
        <w:jc w:val="both"/>
      </w:pPr>
      <w:r>
        <w:t xml:space="preserve">Postup hodnocení záměrů je uveden ve směrnici MAS Sokolovsko „Transparentnost hodnocení a výběru </w:t>
      </w:r>
      <w:r w:rsidR="00405A23">
        <w:t>projektů, zamezení</w:t>
      </w:r>
      <w:r>
        <w:t xml:space="preserve"> střetu zájmů“. Směrnice je zveřejněna </w:t>
      </w:r>
      <w:r w:rsidR="00405A23">
        <w:t xml:space="preserve">na:  </w:t>
      </w:r>
      <w:hyperlink r:id="rId10" w:history="1">
        <w:r w:rsidRPr="003E1ED7">
          <w:rPr>
            <w:rStyle w:val="Hypertextovodkaz"/>
            <w:rFonts w:cstheme="minorHAnsi"/>
          </w:rPr>
          <w:t>https://www.mas-sokolovsko.eu/irop/smernice/</w:t>
        </w:r>
      </w:hyperlink>
    </w:p>
    <w:p w14:paraId="7A0D1AD6" w14:textId="31921985" w:rsidR="00211D24" w:rsidRDefault="00211D24" w:rsidP="00211D24">
      <w:pPr>
        <w:jc w:val="both"/>
      </w:pPr>
      <w:r>
        <w:t xml:space="preserve">Po výběru projektových záměrů ze strany MAS následuje podání žádosti o podporu do výzvy č. 49 IROP, a to prostřednictvím MS21+. Hodnocení žádostí o podporu je v kompetenci Centra pro regionální rozvoj (CRR). </w:t>
      </w:r>
    </w:p>
    <w:p w14:paraId="7CD82269" w14:textId="77777777" w:rsidR="00211D24" w:rsidRDefault="00211D24" w:rsidP="00211D24">
      <w:pPr>
        <w:jc w:val="both"/>
      </w:pPr>
      <w:r>
        <w:t>Věcná způsobilost je definována v Obecných a Specifických pravidlech pro žadatele a příjemce výzvy č. 49 IROP (vždy v aktuálním znění).</w:t>
      </w:r>
    </w:p>
    <w:p w14:paraId="2C5650A1" w14:textId="30A6145B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r w:rsidR="00405A23" w:rsidRPr="007D7B68">
        <w:rPr>
          <w:rStyle w:val="Hypertextovodkaz"/>
          <w:rFonts w:cstheme="minorHAnsi"/>
        </w:rPr>
        <w:t>https://irop.gov.cz/cs/vyzvy-2021-2027/vyzvy/49vyzvairop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19EAE537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(osob) jednajících jménem žadatele (nebo osob zmocněných na základě plné moci) a relevantní přílohy je nutné zaslat na e-mail: </w:t>
      </w:r>
      <w:hyperlink r:id="rId11" w:history="1">
        <w:r w:rsidRPr="00EA3037">
          <w:rPr>
            <w:rStyle w:val="Hypertextovodkaz"/>
            <w:b/>
            <w:bCs/>
          </w:rPr>
          <w:t>irop@mas-sokolovsko.eu</w:t>
        </w:r>
      </w:hyperlink>
    </w:p>
    <w:p w14:paraId="7FCE3592" w14:textId="75BD298E" w:rsidR="00211D24" w:rsidRPr="008B7B1D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8B7B1D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760EDDB0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MAS Sokolovsko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64B293C4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sz w:val="20"/>
                <w:szCs w:val="20"/>
              </w:rPr>
              <w:t>5.1.7 Infrastruktura pro zvyšování kvality a dostupnosti sociálních služeb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4D54472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sz w:val="20"/>
                <w:szCs w:val="20"/>
              </w:rPr>
              <w:t>49. Výzva IROP – Sociální služby 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209E9F76" w:rsidR="006E6251" w:rsidRPr="00331076" w:rsidRDefault="0033107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0F7736">
              <w:rPr>
                <w:rFonts w:cs="Arial"/>
                <w:bCs/>
                <w:sz w:val="20"/>
                <w:szCs w:val="20"/>
              </w:rPr>
              <w:t>2</w:t>
            </w:r>
            <w:r w:rsidR="000F0B4D">
              <w:rPr>
                <w:rFonts w:cs="Arial"/>
                <w:bCs/>
                <w:sz w:val="20"/>
                <w:szCs w:val="20"/>
              </w:rPr>
              <w:t>9</w:t>
            </w:r>
            <w:r w:rsidRPr="00331076">
              <w:rPr>
                <w:rFonts w:cs="Arial"/>
                <w:bCs/>
                <w:sz w:val="20"/>
                <w:szCs w:val="20"/>
              </w:rPr>
              <w:t>: MAS Sokolovsko – IROP – Infrastruktura pro zvyšování kvality a dostupnosti sociálních služeb</w:t>
            </w:r>
            <w:r w:rsidR="001457D0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BE5E9F">
              <w:rPr>
                <w:rFonts w:cs="Arial"/>
                <w:bCs/>
                <w:sz w:val="20"/>
                <w:szCs w:val="20"/>
              </w:rPr>
              <w:t>V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AC602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AC602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1D0046B1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49. výzvou IROP – Sociální služby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77777777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AC602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AC602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AC602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AC602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AC602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AC602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AC602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AC602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569B2A9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E76B1A">
              <w:rPr>
                <w:color w:val="FF0000"/>
                <w:sz w:val="20"/>
                <w:szCs w:val="20"/>
              </w:rPr>
              <w:t>ů</w:t>
            </w:r>
            <w:r w:rsidRPr="00586900">
              <w:rPr>
                <w:color w:val="FF0000"/>
                <w:sz w:val="20"/>
                <w:szCs w:val="20"/>
              </w:rPr>
              <w:t>, stavební povolení atd.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AC602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2107B8D6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0F7736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 xml:space="preserve">měsíc/rok). Počítejte, že věcné hodnocení záměru ze strany MAS může trvat přibližně </w:t>
            </w:r>
            <w:r w:rsidR="003269F1" w:rsidRPr="003269F1">
              <w:rPr>
                <w:color w:val="FF0000"/>
                <w:sz w:val="20"/>
                <w:szCs w:val="20"/>
              </w:rPr>
              <w:t>měsíc a půl od ukončení příjmu žádostí na MAS</w:t>
            </w:r>
            <w:r w:rsidRPr="00586900">
              <w:rPr>
                <w:color w:val="FF0000"/>
                <w:sz w:val="20"/>
                <w:szCs w:val="20"/>
              </w:rPr>
              <w:t>. Uvažujte, že vyjádření o souladu záměru se SCLLD MAS Sokolovsko je vydáváno na 60 kalendářních dnů.</w:t>
            </w:r>
          </w:p>
        </w:tc>
      </w:tr>
      <w:tr w:rsidR="00991E7D" w:rsidRPr="00586900" w14:paraId="3B0E3A63" w14:textId="77777777" w:rsidTr="00AC602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AF6A59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0F7736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EE1EE1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EE1EE1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EE1EE1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AC602F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2C74BE97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0F7736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AC602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AC602F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C51CBCE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8B7B1D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40C079A3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8B7B1D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340569CE" w:rsidR="00647584" w:rsidRPr="00AC602F" w:rsidRDefault="00AC602F" w:rsidP="00755FF3">
            <w:pPr>
              <w:rPr>
                <w:b/>
                <w:bCs/>
              </w:rPr>
            </w:pPr>
            <w:r w:rsidRPr="00AC602F">
              <w:rPr>
                <w:rFonts w:ascii="Calibri" w:hAnsi="Calibri" w:cs="Calibri"/>
                <w:b/>
                <w:bCs/>
                <w:color w:val="000000"/>
              </w:rPr>
              <w:t>Podíl úvazků pracovníků sociální služby v přímé péči: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369CD8BF" w:rsidR="00647584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="00AC602F">
              <w:rPr>
                <w:color w:val="FF0000"/>
                <w:sz w:val="20"/>
                <w:szCs w:val="20"/>
              </w:rPr>
              <w:t xml:space="preserve"> celkový počet úvazků pracovníků, počet úvazků pracovníku sociální služby v přímé péči a z toho vypočítejte podíl pracovníků sociální služby v přímé péči. </w:t>
            </w:r>
            <w:r w:rsidR="00666C0D">
              <w:rPr>
                <w:color w:val="FF0000"/>
                <w:sz w:val="20"/>
                <w:szCs w:val="20"/>
              </w:rPr>
              <w:t>Údaj se vztahuje k sociální službě, kter</w:t>
            </w:r>
            <w:r w:rsidR="00266D68">
              <w:rPr>
                <w:color w:val="FF0000"/>
                <w:sz w:val="20"/>
                <w:szCs w:val="20"/>
              </w:rPr>
              <w:t>é</w:t>
            </w:r>
            <w:r w:rsidR="00666C0D">
              <w:rPr>
                <w:color w:val="FF0000"/>
                <w:sz w:val="20"/>
                <w:szCs w:val="20"/>
              </w:rPr>
              <w:t xml:space="preserve"> se týká předkládaný projektový záměr. </w:t>
            </w:r>
            <w:r w:rsidR="00AC602F">
              <w:rPr>
                <w:color w:val="FF0000"/>
                <w:sz w:val="20"/>
                <w:szCs w:val="20"/>
              </w:rPr>
              <w:t>Jedná se o údaj, který vstupuje do věcného hodnocení. Žadatel odpovídá za správnost údajů.</w:t>
            </w:r>
          </w:p>
          <w:p w14:paraId="60DE4F4F" w14:textId="2BFF5586" w:rsidR="00647584" w:rsidRDefault="00647584" w:rsidP="00755FF3">
            <w:pPr>
              <w:rPr>
                <w:sz w:val="20"/>
                <w:szCs w:val="20"/>
              </w:rPr>
            </w:pPr>
          </w:p>
          <w:p w14:paraId="4B956C3B" w14:textId="77777777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3E65E7CE" w14:textId="77777777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  <w:tr w:rsidR="00647584" w:rsidRPr="00586900" w14:paraId="0BE4C4EA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1778AF2B" w14:textId="484C9979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Působnost sociální služby:</w:t>
            </w:r>
          </w:p>
        </w:tc>
      </w:tr>
      <w:tr w:rsidR="00647584" w:rsidRPr="00586900" w14:paraId="2D997127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262F2A3" w14:textId="616ED2CF" w:rsidR="00647584" w:rsidRPr="00586900" w:rsidRDefault="00174A6F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rozsah působnosti sociální služby (seznam obcí na území MAS Sokolovsko, kde bude sociální služba působit). </w:t>
            </w:r>
            <w:r w:rsidR="00AC602F">
              <w:rPr>
                <w:color w:val="FF0000"/>
                <w:sz w:val="20"/>
                <w:szCs w:val="20"/>
              </w:rPr>
              <w:t>Jedná se o údaj, který vstupuje do věcného hodnocení. Žadatel odpovídá za správnost údajů.</w:t>
            </w:r>
          </w:p>
          <w:p w14:paraId="090348CF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  <w:p w14:paraId="5E0CEEC3" w14:textId="77777777" w:rsidR="00647584" w:rsidRDefault="00647584" w:rsidP="00755FF3">
            <w:pPr>
              <w:rPr>
                <w:b/>
                <w:sz w:val="20"/>
                <w:szCs w:val="20"/>
              </w:rPr>
            </w:pPr>
          </w:p>
          <w:p w14:paraId="0D6C51C1" w14:textId="77777777" w:rsidR="003269F1" w:rsidRDefault="003269F1" w:rsidP="00755FF3">
            <w:pPr>
              <w:rPr>
                <w:b/>
                <w:sz w:val="20"/>
                <w:szCs w:val="20"/>
              </w:rPr>
            </w:pPr>
          </w:p>
          <w:p w14:paraId="19F3B4AA" w14:textId="77777777" w:rsidR="003269F1" w:rsidRDefault="003269F1" w:rsidP="00755FF3">
            <w:pPr>
              <w:rPr>
                <w:b/>
                <w:sz w:val="20"/>
                <w:szCs w:val="20"/>
              </w:rPr>
            </w:pPr>
          </w:p>
          <w:p w14:paraId="3DC41B1A" w14:textId="77777777" w:rsidR="003269F1" w:rsidRPr="00586900" w:rsidRDefault="003269F1" w:rsidP="00755FF3">
            <w:pPr>
              <w:rPr>
                <w:b/>
                <w:sz w:val="20"/>
                <w:szCs w:val="20"/>
              </w:rPr>
            </w:pPr>
          </w:p>
          <w:p w14:paraId="31308635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  <w:tr w:rsidR="000F7736" w:rsidRPr="00586900" w14:paraId="627A633E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5B02B4F" w14:textId="628AF3AF" w:rsidR="000F7736" w:rsidRPr="009821B7" w:rsidRDefault="009821B7" w:rsidP="009821B7">
            <w:pPr>
              <w:rPr>
                <w:color w:val="FF0000"/>
                <w:sz w:val="20"/>
                <w:szCs w:val="20"/>
              </w:rPr>
            </w:pPr>
            <w:r w:rsidRPr="009821B7">
              <w:rPr>
                <w:b/>
              </w:rPr>
              <w:t>Podpora žadatele z IROP přes MAS</w:t>
            </w:r>
            <w:r>
              <w:rPr>
                <w:b/>
              </w:rPr>
              <w:t>:</w:t>
            </w:r>
          </w:p>
        </w:tc>
      </w:tr>
      <w:tr w:rsidR="000F7736" w:rsidRPr="00586900" w14:paraId="3AD8FEA0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301DC292" w14:textId="6E014DE6" w:rsidR="005F32CA" w:rsidRDefault="00C56A27" w:rsidP="00755FF3">
            <w:pPr>
              <w:rPr>
                <w:color w:val="FF0000"/>
                <w:sz w:val="20"/>
                <w:szCs w:val="20"/>
              </w:rPr>
            </w:pPr>
            <w:r w:rsidRPr="00C56A27">
              <w:rPr>
                <w:color w:val="FF0000"/>
                <w:sz w:val="20"/>
                <w:szCs w:val="20"/>
              </w:rPr>
              <w:t>Uveďte kolikrát byl žadatel z IROP přes MAS v programovém období 2021-2027 podpořen.</w:t>
            </w:r>
            <w:r w:rsidR="00F146E2">
              <w:rPr>
                <w:color w:val="FF0000"/>
                <w:sz w:val="20"/>
                <w:szCs w:val="20"/>
              </w:rPr>
              <w:t xml:space="preserve"> </w:t>
            </w:r>
          </w:p>
          <w:p w14:paraId="5C550409" w14:textId="18BBDB4A" w:rsidR="000F7736" w:rsidRDefault="00634753" w:rsidP="00755FF3">
            <w:pPr>
              <w:rPr>
                <w:color w:val="FF0000"/>
                <w:sz w:val="20"/>
                <w:szCs w:val="20"/>
              </w:rPr>
            </w:pPr>
            <w:r w:rsidRPr="00634753">
              <w:rPr>
                <w:color w:val="FF0000"/>
                <w:sz w:val="20"/>
                <w:szCs w:val="20"/>
              </w:rPr>
              <w:t>Podporou žadatele se rozumí vystavení souhlasného „Vyjádření MAS o souladu projektového záměru se schválenou strategií CLLD</w:t>
            </w:r>
            <w:r w:rsidR="00FE1E43" w:rsidRPr="00634753">
              <w:rPr>
                <w:color w:val="FF0000"/>
                <w:sz w:val="20"/>
                <w:szCs w:val="20"/>
              </w:rPr>
              <w:t>“. (</w:t>
            </w:r>
            <w:r w:rsidRPr="00634753">
              <w:rPr>
                <w:color w:val="FF0000"/>
                <w:sz w:val="20"/>
                <w:szCs w:val="20"/>
              </w:rPr>
              <w:t>Pozn. Vyjádření MAS o souladu dostává projekt, který prošel věcným hodnocením Výběrové komise a Programový výbor jej vybral k financování dle pořadí a dostupných finančních prostředků opatření)</w:t>
            </w:r>
            <w:r w:rsidR="005F32CA">
              <w:rPr>
                <w:color w:val="FF0000"/>
                <w:sz w:val="20"/>
                <w:szCs w:val="20"/>
              </w:rPr>
              <w:t>.</w:t>
            </w:r>
          </w:p>
          <w:p w14:paraId="496E6F9F" w14:textId="77777777" w:rsidR="005F32CA" w:rsidRDefault="005F32CA" w:rsidP="00755FF3">
            <w:pPr>
              <w:rPr>
                <w:color w:val="FF0000"/>
                <w:sz w:val="20"/>
                <w:szCs w:val="20"/>
              </w:rPr>
            </w:pPr>
          </w:p>
          <w:p w14:paraId="67B07DEE" w14:textId="77777777" w:rsidR="005F32CA" w:rsidRDefault="005F32CA" w:rsidP="00755FF3">
            <w:pPr>
              <w:rPr>
                <w:color w:val="FF0000"/>
                <w:sz w:val="20"/>
                <w:szCs w:val="20"/>
              </w:rPr>
            </w:pPr>
          </w:p>
          <w:p w14:paraId="2939A87D" w14:textId="77777777" w:rsidR="005F32CA" w:rsidRDefault="005F32CA" w:rsidP="00755FF3">
            <w:pPr>
              <w:rPr>
                <w:color w:val="FF0000"/>
                <w:sz w:val="20"/>
                <w:szCs w:val="20"/>
              </w:rPr>
            </w:pPr>
          </w:p>
          <w:p w14:paraId="6C597929" w14:textId="77777777" w:rsidR="005F32CA" w:rsidRDefault="005F32CA" w:rsidP="00755FF3">
            <w:pPr>
              <w:rPr>
                <w:color w:val="FF0000"/>
                <w:sz w:val="20"/>
                <w:szCs w:val="20"/>
              </w:rPr>
            </w:pPr>
          </w:p>
          <w:p w14:paraId="48E2AB78" w14:textId="2BAD7432" w:rsidR="005F32CA" w:rsidRDefault="005F32CA" w:rsidP="00755FF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647584">
        <w:trPr>
          <w:trHeight w:val="255"/>
          <w:jc w:val="center"/>
        </w:trPr>
        <w:tc>
          <w:tcPr>
            <w:tcW w:w="1702" w:type="dxa"/>
            <w:noWrap/>
            <w:vAlign w:val="center"/>
            <w:hideMark/>
          </w:tcPr>
          <w:p w14:paraId="6B5F678A" w14:textId="0AEF3DCA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586900">
              <w:rPr>
                <w:rFonts w:cs="Arial"/>
                <w:b/>
                <w:szCs w:val="20"/>
              </w:rPr>
              <w:t>554 010</w:t>
            </w:r>
          </w:p>
        </w:tc>
        <w:tc>
          <w:tcPr>
            <w:tcW w:w="3260" w:type="dxa"/>
            <w:noWrap/>
            <w:vAlign w:val="center"/>
            <w:hideMark/>
          </w:tcPr>
          <w:p w14:paraId="4613F9DD" w14:textId="79E7D9B1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 xml:space="preserve">Počet podpořených zázemí pro služby a sociální práci </w:t>
            </w:r>
          </w:p>
        </w:tc>
        <w:tc>
          <w:tcPr>
            <w:tcW w:w="1408" w:type="dxa"/>
            <w:noWrap/>
            <w:vAlign w:val="center"/>
            <w:hideMark/>
          </w:tcPr>
          <w:p w14:paraId="0765804F" w14:textId="625CFCFE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zázemí</w:t>
            </w:r>
          </w:p>
        </w:tc>
        <w:tc>
          <w:tcPr>
            <w:tcW w:w="1382" w:type="dxa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5751BF02" w14:textId="45C94A3C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647584">
        <w:trPr>
          <w:trHeight w:val="255"/>
          <w:jc w:val="center"/>
        </w:trPr>
        <w:tc>
          <w:tcPr>
            <w:tcW w:w="1702" w:type="dxa"/>
            <w:noWrap/>
            <w:vAlign w:val="center"/>
            <w:hideMark/>
          </w:tcPr>
          <w:p w14:paraId="4DE1A449" w14:textId="2026E655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586900">
              <w:rPr>
                <w:rFonts w:cs="Arial"/>
                <w:b/>
                <w:szCs w:val="20"/>
              </w:rPr>
              <w:t>554 401</w:t>
            </w:r>
          </w:p>
        </w:tc>
        <w:tc>
          <w:tcPr>
            <w:tcW w:w="3260" w:type="dxa"/>
            <w:noWrap/>
            <w:vAlign w:val="center"/>
            <w:hideMark/>
          </w:tcPr>
          <w:p w14:paraId="646863C0" w14:textId="12E1C74A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Rekonstruovaná či modernizovaná kapacita podpořených zařízení nepobytových sociálních služeb</w:t>
            </w:r>
          </w:p>
        </w:tc>
        <w:tc>
          <w:tcPr>
            <w:tcW w:w="1408" w:type="dxa"/>
            <w:noWrap/>
            <w:vAlign w:val="center"/>
            <w:hideMark/>
          </w:tcPr>
          <w:p w14:paraId="13C7B7C9" w14:textId="05E49790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593981FF" w14:textId="4D778AB4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E145B29" w14:textId="77777777" w:rsidTr="00647584">
        <w:trPr>
          <w:trHeight w:val="255"/>
          <w:jc w:val="center"/>
        </w:trPr>
        <w:tc>
          <w:tcPr>
            <w:tcW w:w="1702" w:type="dxa"/>
            <w:noWrap/>
            <w:vAlign w:val="center"/>
            <w:hideMark/>
          </w:tcPr>
          <w:p w14:paraId="5291B170" w14:textId="40E99DE8" w:rsidR="00991E7D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</w:t>
            </w:r>
            <w:r w:rsidR="007A2964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601</w:t>
            </w:r>
            <w:r w:rsidR="007A2964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260" w:type="dxa"/>
            <w:noWrap/>
            <w:vAlign w:val="center"/>
            <w:hideMark/>
          </w:tcPr>
          <w:p w14:paraId="3A510A5A" w14:textId="7AA72949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 xml:space="preserve">Počet uživatelů nových nebo modernizovaných zařízení sociální péče za rok </w:t>
            </w:r>
          </w:p>
        </w:tc>
        <w:tc>
          <w:tcPr>
            <w:tcW w:w="1408" w:type="dxa"/>
            <w:noWrap/>
            <w:vAlign w:val="center"/>
            <w:hideMark/>
          </w:tcPr>
          <w:p w14:paraId="5206F16A" w14:textId="4D85475B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noWrap/>
            <w:vAlign w:val="center"/>
            <w:hideMark/>
          </w:tcPr>
          <w:p w14:paraId="6F685DBA" w14:textId="7E11031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noWrap/>
            <w:vAlign w:val="center"/>
            <w:hideMark/>
          </w:tcPr>
          <w:p w14:paraId="11E089D5" w14:textId="6DB0722D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210CA7A8" w14:textId="2EEFFC6C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D37CD3A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přílohy,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44B91C21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0C7900F9" w:rsidR="00991E7D" w:rsidRPr="001C1F58" w:rsidRDefault="00A41571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991E7D">
              <w:rPr>
                <w:rFonts w:cs="Arial"/>
                <w:bCs/>
                <w:szCs w:val="20"/>
              </w:rPr>
              <w:t>odpis předkladatele projektového záměru: (elektronický podpis)</w:t>
            </w:r>
            <w:r w:rsidR="00991E7D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BE3BB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A9DD" w14:textId="77777777" w:rsidR="008510E8" w:rsidRDefault="008510E8" w:rsidP="00DC4000">
      <w:pPr>
        <w:spacing w:after="0" w:line="240" w:lineRule="auto"/>
      </w:pPr>
      <w:r>
        <w:separator/>
      </w:r>
    </w:p>
  </w:endnote>
  <w:endnote w:type="continuationSeparator" w:id="0">
    <w:p w14:paraId="63056551" w14:textId="77777777" w:rsidR="008510E8" w:rsidRDefault="008510E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96D0" w14:textId="77777777" w:rsidR="008510E8" w:rsidRDefault="008510E8" w:rsidP="00DC4000">
      <w:pPr>
        <w:spacing w:after="0" w:line="240" w:lineRule="auto"/>
      </w:pPr>
      <w:r>
        <w:separator/>
      </w:r>
    </w:p>
  </w:footnote>
  <w:footnote w:type="continuationSeparator" w:id="0">
    <w:p w14:paraId="5BDF7EF1" w14:textId="77777777" w:rsidR="008510E8" w:rsidRDefault="008510E8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42BA1250" w:rsidR="00DC4000" w:rsidRDefault="00EB4E26">
    <w:pPr>
      <w:pStyle w:val="Zhlav"/>
    </w:pPr>
    <w:r>
      <w:rPr>
        <w:rFonts w:ascii="Arial" w:hAnsi="Arial" w:cs="Arial"/>
        <w:b/>
        <w:noProof/>
        <w:color w:val="3366FF"/>
      </w:rPr>
      <w:drawing>
        <wp:anchor distT="0" distB="0" distL="114300" distR="114300" simplePos="0" relativeHeight="251661312" behindDoc="0" locked="0" layoutInCell="1" allowOverlap="1" wp14:anchorId="775D6B17" wp14:editId="78BCD469">
          <wp:simplePos x="0" y="0"/>
          <wp:positionH relativeFrom="column">
            <wp:posOffset>4906010</wp:posOffset>
          </wp:positionH>
          <wp:positionV relativeFrom="paragraph">
            <wp:posOffset>-137795</wp:posOffset>
          </wp:positionV>
          <wp:extent cx="693420" cy="336854"/>
          <wp:effectExtent l="0" t="0" r="0" b="6350"/>
          <wp:wrapNone/>
          <wp:docPr id="1796690330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690330" name="Grafický objekt 17966903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336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07041584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87A02"/>
    <w:multiLevelType w:val="hybridMultilevel"/>
    <w:tmpl w:val="DA5A3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2"/>
  </w:num>
  <w:num w:numId="3" w16cid:durableId="917985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07CEE"/>
    <w:rsid w:val="0005018F"/>
    <w:rsid w:val="000F0B4D"/>
    <w:rsid w:val="000F7736"/>
    <w:rsid w:val="00106565"/>
    <w:rsid w:val="001115D4"/>
    <w:rsid w:val="00117535"/>
    <w:rsid w:val="001457D0"/>
    <w:rsid w:val="00165697"/>
    <w:rsid w:val="00174A6F"/>
    <w:rsid w:val="00211D24"/>
    <w:rsid w:val="00223C06"/>
    <w:rsid w:val="0023690F"/>
    <w:rsid w:val="00236CF7"/>
    <w:rsid w:val="002563DB"/>
    <w:rsid w:val="00260C35"/>
    <w:rsid w:val="00266D68"/>
    <w:rsid w:val="002749EF"/>
    <w:rsid w:val="002C019F"/>
    <w:rsid w:val="002C2898"/>
    <w:rsid w:val="002E7863"/>
    <w:rsid w:val="00305610"/>
    <w:rsid w:val="00305A1C"/>
    <w:rsid w:val="003269F1"/>
    <w:rsid w:val="00331076"/>
    <w:rsid w:val="003365C6"/>
    <w:rsid w:val="00351DDA"/>
    <w:rsid w:val="003E4E8C"/>
    <w:rsid w:val="00405A23"/>
    <w:rsid w:val="00446298"/>
    <w:rsid w:val="00455349"/>
    <w:rsid w:val="00480754"/>
    <w:rsid w:val="00491183"/>
    <w:rsid w:val="004A70A7"/>
    <w:rsid w:val="004E36F2"/>
    <w:rsid w:val="004E4B1D"/>
    <w:rsid w:val="00512073"/>
    <w:rsid w:val="00566AB1"/>
    <w:rsid w:val="00583387"/>
    <w:rsid w:val="00586900"/>
    <w:rsid w:val="005B30F3"/>
    <w:rsid w:val="005E582B"/>
    <w:rsid w:val="005F32CA"/>
    <w:rsid w:val="006032DC"/>
    <w:rsid w:val="00634753"/>
    <w:rsid w:val="00647584"/>
    <w:rsid w:val="00650FCD"/>
    <w:rsid w:val="00665F40"/>
    <w:rsid w:val="00666C0D"/>
    <w:rsid w:val="00696268"/>
    <w:rsid w:val="006C580A"/>
    <w:rsid w:val="006D0457"/>
    <w:rsid w:val="006E6251"/>
    <w:rsid w:val="006F460C"/>
    <w:rsid w:val="00726F7F"/>
    <w:rsid w:val="0074625F"/>
    <w:rsid w:val="00756F8E"/>
    <w:rsid w:val="00797877"/>
    <w:rsid w:val="007A2964"/>
    <w:rsid w:val="007A5E4E"/>
    <w:rsid w:val="007D1E1A"/>
    <w:rsid w:val="007D5125"/>
    <w:rsid w:val="007F6CAC"/>
    <w:rsid w:val="00806654"/>
    <w:rsid w:val="008259B0"/>
    <w:rsid w:val="008510E8"/>
    <w:rsid w:val="008B7B1D"/>
    <w:rsid w:val="008C6FB6"/>
    <w:rsid w:val="008D2D37"/>
    <w:rsid w:val="00952E55"/>
    <w:rsid w:val="009633A4"/>
    <w:rsid w:val="00966FA0"/>
    <w:rsid w:val="009821B7"/>
    <w:rsid w:val="00985397"/>
    <w:rsid w:val="00991E7D"/>
    <w:rsid w:val="009B5E8C"/>
    <w:rsid w:val="00A41571"/>
    <w:rsid w:val="00AB7273"/>
    <w:rsid w:val="00AC004D"/>
    <w:rsid w:val="00AC602F"/>
    <w:rsid w:val="00B2672F"/>
    <w:rsid w:val="00BA3A50"/>
    <w:rsid w:val="00BA5D28"/>
    <w:rsid w:val="00BE3BBA"/>
    <w:rsid w:val="00BE5E9F"/>
    <w:rsid w:val="00C13769"/>
    <w:rsid w:val="00C566ED"/>
    <w:rsid w:val="00C56A27"/>
    <w:rsid w:val="00C570D7"/>
    <w:rsid w:val="00C97923"/>
    <w:rsid w:val="00D275CA"/>
    <w:rsid w:val="00D62762"/>
    <w:rsid w:val="00D65CEA"/>
    <w:rsid w:val="00D722D1"/>
    <w:rsid w:val="00DC4000"/>
    <w:rsid w:val="00DD4889"/>
    <w:rsid w:val="00E438AE"/>
    <w:rsid w:val="00E76B1A"/>
    <w:rsid w:val="00E86148"/>
    <w:rsid w:val="00E95273"/>
    <w:rsid w:val="00EB4E26"/>
    <w:rsid w:val="00EE1EE1"/>
    <w:rsid w:val="00EF18AB"/>
    <w:rsid w:val="00F146E2"/>
    <w:rsid w:val="00F379D1"/>
    <w:rsid w:val="00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op@mas-sokolovsk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sokolovsko.eu/irop/smern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903</Words>
  <Characters>5785</Characters>
  <Application>Microsoft Office Word</Application>
  <DocSecurity>0</DocSecurity>
  <Lines>241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Eva Slámová</cp:lastModifiedBy>
  <cp:revision>10</cp:revision>
  <dcterms:created xsi:type="dcterms:W3CDTF">2026-01-29T11:37:00Z</dcterms:created>
  <dcterms:modified xsi:type="dcterms:W3CDTF">2026-02-10T08:25:00Z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  <property fmtid="{D5CDD505-2E9C-101B-9397-08002B2CF9AE}" pid="3" name="GrammarlyDocumentId">
    <vt:lpwstr>b67d102dc0a11a25d8789950ad566bdf82b5036261a0d415421c2afc640c7363</vt:lpwstr>
  </property>
</Properties>
</file>